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1053" w14:textId="114CC6AE" w:rsidR="007A604D" w:rsidRPr="00E42D25" w:rsidRDefault="0098312F" w:rsidP="00D4365C">
      <w:pPr>
        <w:spacing w:after="0" w:line="240" w:lineRule="auto"/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  <w:b/>
          <w:bCs/>
          <w:sz w:val="24"/>
          <w:szCs w:val="24"/>
        </w:rPr>
        <w:t>National Cent</w:t>
      </w:r>
      <w:r w:rsidRPr="00FD7181">
        <w:rPr>
          <w:rFonts w:ascii="Poppins" w:hAnsi="Poppins" w:cs="Poppins"/>
          <w:b/>
          <w:bCs/>
          <w:sz w:val="24"/>
          <w:szCs w:val="24"/>
        </w:rPr>
        <w:t xml:space="preserve">re for Chiropractic Research (NCCR) </w:t>
      </w:r>
      <w:r w:rsidR="00DC56D7" w:rsidRPr="00FD7181">
        <w:rPr>
          <w:rFonts w:ascii="Poppins" w:hAnsi="Poppins" w:cs="Poppins"/>
          <w:b/>
          <w:bCs/>
          <w:sz w:val="24"/>
          <w:szCs w:val="24"/>
        </w:rPr>
        <w:t>National Stakeholder Advisory Group</w:t>
      </w:r>
    </w:p>
    <w:p w14:paraId="29077557" w14:textId="02DE2448" w:rsidR="00014421" w:rsidRPr="00107FF8" w:rsidRDefault="007A604D" w:rsidP="00D4365C">
      <w:pPr>
        <w:spacing w:after="0" w:line="240" w:lineRule="auto"/>
        <w:rPr>
          <w:rFonts w:ascii="Poppins" w:hAnsi="Poppins" w:cs="Poppins"/>
          <w:b/>
          <w:bCs/>
          <w:sz w:val="20"/>
          <w:szCs w:val="20"/>
        </w:rPr>
      </w:pPr>
      <w:r w:rsidRPr="00107FF8">
        <w:rPr>
          <w:rFonts w:ascii="Poppins" w:hAnsi="Poppins" w:cs="Poppins"/>
          <w:b/>
          <w:bCs/>
          <w:sz w:val="20"/>
          <w:szCs w:val="20"/>
        </w:rPr>
        <w:t xml:space="preserve">Terms of reference v1 </w:t>
      </w:r>
      <w:r w:rsidR="00FD7181">
        <w:rPr>
          <w:rFonts w:ascii="Poppins" w:hAnsi="Poppins" w:cs="Poppins"/>
          <w:b/>
          <w:bCs/>
          <w:sz w:val="20"/>
          <w:szCs w:val="20"/>
        </w:rPr>
        <w:t>Final</w:t>
      </w:r>
    </w:p>
    <w:p w14:paraId="7EC50E81" w14:textId="77777777" w:rsidR="007A604D" w:rsidRPr="00107FF8" w:rsidRDefault="007A604D" w:rsidP="00D4365C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385B81B0" w14:textId="77777777" w:rsidR="007A604D" w:rsidRPr="00107FF8" w:rsidRDefault="007A604D" w:rsidP="00D4365C">
      <w:pPr>
        <w:spacing w:after="0" w:line="240" w:lineRule="auto"/>
        <w:rPr>
          <w:rFonts w:ascii="Poppins" w:hAnsi="Poppins" w:cs="Poppins"/>
          <w:b/>
          <w:bCs/>
          <w:sz w:val="20"/>
          <w:szCs w:val="20"/>
        </w:rPr>
      </w:pPr>
      <w:r w:rsidRPr="00107FF8">
        <w:rPr>
          <w:rFonts w:ascii="Poppins" w:hAnsi="Poppins" w:cs="Poppins"/>
          <w:b/>
          <w:bCs/>
          <w:sz w:val="20"/>
          <w:szCs w:val="20"/>
        </w:rPr>
        <w:t>Membership</w:t>
      </w:r>
    </w:p>
    <w:p w14:paraId="7A5826E7" w14:textId="2061C17C" w:rsidR="00E42C57" w:rsidRPr="00107FF8" w:rsidRDefault="00E42C57" w:rsidP="00E42C57">
      <w:pPr>
        <w:spacing w:after="0"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NCCR Director (HSU) (Chair)</w:t>
      </w:r>
    </w:p>
    <w:p w14:paraId="48212753" w14:textId="1629D800" w:rsidR="007A604D" w:rsidRDefault="00E42C57" w:rsidP="00D4365C">
      <w:pPr>
        <w:spacing w:after="0"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One r</w:t>
      </w:r>
      <w:r w:rsidR="0098312F">
        <w:rPr>
          <w:rFonts w:ascii="Poppins" w:hAnsi="Poppins" w:cs="Poppins"/>
          <w:sz w:val="20"/>
          <w:szCs w:val="20"/>
        </w:rPr>
        <w:t xml:space="preserve">epresentative from </w:t>
      </w:r>
      <w:r>
        <w:rPr>
          <w:rFonts w:ascii="Poppins" w:hAnsi="Poppins" w:cs="Poppins"/>
          <w:sz w:val="20"/>
          <w:szCs w:val="20"/>
        </w:rPr>
        <w:t xml:space="preserve">each </w:t>
      </w:r>
      <w:r w:rsidR="00DC56D7">
        <w:rPr>
          <w:rFonts w:ascii="Poppins" w:hAnsi="Poppins" w:cs="Poppins"/>
          <w:sz w:val="20"/>
          <w:szCs w:val="20"/>
        </w:rPr>
        <w:t>professional chiropractic group (</w:t>
      </w:r>
      <w:r w:rsidR="0098312F">
        <w:rPr>
          <w:rFonts w:ascii="Poppins" w:hAnsi="Poppins" w:cs="Poppins"/>
          <w:sz w:val="20"/>
          <w:szCs w:val="20"/>
        </w:rPr>
        <w:t>non-HSU member</w:t>
      </w:r>
      <w:r>
        <w:rPr>
          <w:rFonts w:ascii="Poppins" w:hAnsi="Poppins" w:cs="Poppins"/>
          <w:sz w:val="20"/>
          <w:szCs w:val="20"/>
        </w:rPr>
        <w:t>s</w:t>
      </w:r>
      <w:r w:rsidR="0098312F">
        <w:rPr>
          <w:rFonts w:ascii="Poppins" w:hAnsi="Poppins" w:cs="Poppins"/>
          <w:sz w:val="20"/>
          <w:szCs w:val="20"/>
        </w:rPr>
        <w:t>)</w:t>
      </w:r>
    </w:p>
    <w:p w14:paraId="42DC470D" w14:textId="2AA7C70F" w:rsidR="00DC56D7" w:rsidRDefault="00DC56D7" w:rsidP="00D4365C">
      <w:pPr>
        <w:spacing w:after="0"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International member</w:t>
      </w:r>
      <w:r w:rsidR="001133C6">
        <w:rPr>
          <w:rFonts w:ascii="Poppins" w:hAnsi="Poppins" w:cs="Poppins"/>
          <w:sz w:val="20"/>
          <w:szCs w:val="20"/>
        </w:rPr>
        <w:t>(s)</w:t>
      </w:r>
      <w:r>
        <w:rPr>
          <w:rFonts w:ascii="Poppins" w:hAnsi="Poppins" w:cs="Poppins"/>
          <w:sz w:val="20"/>
          <w:szCs w:val="20"/>
        </w:rPr>
        <w:t xml:space="preserve"> (non-HSU member</w:t>
      </w:r>
      <w:r w:rsidR="001133C6">
        <w:rPr>
          <w:rFonts w:ascii="Poppins" w:hAnsi="Poppins" w:cs="Poppins"/>
          <w:sz w:val="20"/>
          <w:szCs w:val="20"/>
        </w:rPr>
        <w:t>/</w:t>
      </w:r>
      <w:r>
        <w:rPr>
          <w:rFonts w:ascii="Poppins" w:hAnsi="Poppins" w:cs="Poppins"/>
          <w:sz w:val="20"/>
          <w:szCs w:val="20"/>
        </w:rPr>
        <w:t>s)</w:t>
      </w:r>
    </w:p>
    <w:p w14:paraId="7E2D47E0" w14:textId="027F50FC" w:rsidR="001133C6" w:rsidRDefault="001133C6" w:rsidP="00D4365C">
      <w:pPr>
        <w:spacing w:after="0"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Influential member of the profession and other MSK-aligned professions (non-HSU members)</w:t>
      </w:r>
    </w:p>
    <w:p w14:paraId="287BA756" w14:textId="05E87BA6" w:rsidR="0098312F" w:rsidRDefault="00E42C57" w:rsidP="00D4365C">
      <w:pPr>
        <w:spacing w:after="0"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Patient &amp; public involvement members (external)</w:t>
      </w:r>
    </w:p>
    <w:p w14:paraId="38F32703" w14:textId="12F5892E" w:rsidR="00F17003" w:rsidRDefault="00F17003" w:rsidP="00D4365C">
      <w:pPr>
        <w:spacing w:after="0"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Research &amp; Knowledge Exchange Manager (HSU)</w:t>
      </w:r>
    </w:p>
    <w:p w14:paraId="440E1F96" w14:textId="77777777" w:rsidR="00DC56D7" w:rsidRDefault="00DC56D7" w:rsidP="00D4365C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350F6AA5" w14:textId="68F2368F" w:rsidR="00DC56D7" w:rsidRDefault="00DC56D7" w:rsidP="00D4365C">
      <w:pPr>
        <w:spacing w:after="0" w:line="240" w:lineRule="auto"/>
        <w:rPr>
          <w:rFonts w:ascii="Poppins" w:hAnsi="Poppins" w:cs="Poppins"/>
          <w:sz w:val="20"/>
          <w:szCs w:val="20"/>
        </w:rPr>
      </w:pPr>
      <w:bookmarkStart w:id="0" w:name="_Hlk185343693"/>
      <w:r>
        <w:rPr>
          <w:rFonts w:ascii="Poppins" w:hAnsi="Poppins" w:cs="Poppins"/>
          <w:sz w:val="20"/>
          <w:szCs w:val="20"/>
        </w:rPr>
        <w:t>A Deputy Chair will be elected from the membership.</w:t>
      </w:r>
    </w:p>
    <w:p w14:paraId="7EFBCAD9" w14:textId="77777777" w:rsidR="005A3CD9" w:rsidRDefault="005A3CD9" w:rsidP="00D4365C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33B8EFAB" w14:textId="383ED204" w:rsidR="005A3CD9" w:rsidRDefault="005A3CD9" w:rsidP="00D4365C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5A3CD9">
        <w:rPr>
          <w:rFonts w:ascii="Poppins" w:hAnsi="Poppins" w:cs="Poppins"/>
          <w:sz w:val="20"/>
          <w:szCs w:val="20"/>
        </w:rPr>
        <w:t>Membership will aim to reflect a diversity of sectors, perspectives, and backgrounds relevant to the Centre’s mission.</w:t>
      </w:r>
    </w:p>
    <w:bookmarkEnd w:id="0"/>
    <w:p w14:paraId="07912099" w14:textId="77777777" w:rsidR="0098312F" w:rsidRPr="00107FF8" w:rsidRDefault="0098312F" w:rsidP="00D4365C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6C8228B3" w14:textId="2763A71E" w:rsidR="007A604D" w:rsidRPr="00107FF8" w:rsidRDefault="007A604D" w:rsidP="00D4365C">
      <w:pPr>
        <w:spacing w:after="0" w:line="240" w:lineRule="auto"/>
        <w:rPr>
          <w:rFonts w:ascii="Poppins" w:hAnsi="Poppins" w:cs="Poppins"/>
          <w:b/>
          <w:bCs/>
          <w:sz w:val="20"/>
          <w:szCs w:val="20"/>
        </w:rPr>
      </w:pPr>
      <w:r w:rsidRPr="00107FF8">
        <w:rPr>
          <w:rFonts w:ascii="Poppins" w:hAnsi="Poppins" w:cs="Poppins"/>
          <w:b/>
          <w:bCs/>
          <w:sz w:val="20"/>
          <w:szCs w:val="20"/>
        </w:rPr>
        <w:t>Responsibilities</w:t>
      </w:r>
    </w:p>
    <w:p w14:paraId="13FF0FC6" w14:textId="2C485E18" w:rsidR="006C2E21" w:rsidRDefault="00113786" w:rsidP="00D4365C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113786">
        <w:rPr>
          <w:rFonts w:ascii="Poppins" w:hAnsi="Poppins" w:cs="Poppins"/>
          <w:sz w:val="20"/>
          <w:szCs w:val="20"/>
        </w:rPr>
        <w:t xml:space="preserve">The </w:t>
      </w:r>
      <w:r>
        <w:rPr>
          <w:rFonts w:ascii="Poppins" w:hAnsi="Poppins" w:cs="Poppins"/>
          <w:sz w:val="20"/>
          <w:szCs w:val="20"/>
        </w:rPr>
        <w:t xml:space="preserve">NCCR </w:t>
      </w:r>
      <w:r w:rsidR="00DC56D7" w:rsidRPr="00DC56D7">
        <w:rPr>
          <w:rFonts w:ascii="Poppins" w:hAnsi="Poppins" w:cs="Poppins"/>
          <w:sz w:val="20"/>
          <w:szCs w:val="20"/>
        </w:rPr>
        <w:t xml:space="preserve">National Stakeholder Advisory Group (NSAG) provides external insight, strategic advice, and stakeholder perspectives to ensure the Centre's research, activities, and priorities </w:t>
      </w:r>
      <w:r w:rsidR="00DC56D7">
        <w:rPr>
          <w:rFonts w:ascii="Poppins" w:hAnsi="Poppins" w:cs="Poppins"/>
          <w:sz w:val="20"/>
          <w:szCs w:val="20"/>
        </w:rPr>
        <w:t>are relevant and impactful for the chiropractic profession, government and society.</w:t>
      </w:r>
    </w:p>
    <w:p w14:paraId="21830854" w14:textId="77777777" w:rsidR="00113786" w:rsidRDefault="00113786" w:rsidP="00D4365C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0A50138C" w14:textId="6AD1AE17" w:rsidR="001133C6" w:rsidRPr="001133C6" w:rsidRDefault="001133C6" w:rsidP="001133C6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1133C6">
        <w:rPr>
          <w:rFonts w:ascii="Poppins" w:hAnsi="Poppins" w:cs="Poppins"/>
          <w:sz w:val="20"/>
          <w:szCs w:val="20"/>
        </w:rPr>
        <w:t>Advisory Role</w:t>
      </w:r>
    </w:p>
    <w:p w14:paraId="3D0AA046" w14:textId="60A606AE" w:rsidR="001133C6" w:rsidRPr="001133C6" w:rsidRDefault="001133C6" w:rsidP="001133C6">
      <w:pPr>
        <w:numPr>
          <w:ilvl w:val="0"/>
          <w:numId w:val="21"/>
        </w:numPr>
        <w:spacing w:after="0" w:line="240" w:lineRule="auto"/>
        <w:rPr>
          <w:rFonts w:ascii="Poppins" w:hAnsi="Poppins" w:cs="Poppins"/>
          <w:sz w:val="20"/>
          <w:szCs w:val="20"/>
        </w:rPr>
      </w:pPr>
      <w:r w:rsidRPr="001133C6">
        <w:rPr>
          <w:rFonts w:ascii="Poppins" w:hAnsi="Poppins" w:cs="Poppins"/>
          <w:sz w:val="20"/>
          <w:szCs w:val="20"/>
        </w:rPr>
        <w:t xml:space="preserve">Provide external perspectives to help shape the Centre’s strategic direction, ensuring </w:t>
      </w:r>
      <w:r>
        <w:rPr>
          <w:rFonts w:ascii="Poppins" w:hAnsi="Poppins" w:cs="Poppins"/>
          <w:sz w:val="20"/>
          <w:szCs w:val="20"/>
        </w:rPr>
        <w:t xml:space="preserve">the </w:t>
      </w:r>
      <w:r w:rsidRPr="001133C6">
        <w:rPr>
          <w:rFonts w:ascii="Poppins" w:hAnsi="Poppins" w:cs="Poppins"/>
          <w:sz w:val="20"/>
          <w:szCs w:val="20"/>
        </w:rPr>
        <w:t>research</w:t>
      </w:r>
      <w:r>
        <w:rPr>
          <w:rFonts w:ascii="Poppins" w:hAnsi="Poppins" w:cs="Poppins"/>
          <w:sz w:val="20"/>
          <w:szCs w:val="20"/>
        </w:rPr>
        <w:t xml:space="preserve"> programme</w:t>
      </w:r>
      <w:r w:rsidRPr="001133C6"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 xml:space="preserve">is </w:t>
      </w:r>
      <w:r w:rsidRPr="001133C6">
        <w:rPr>
          <w:rFonts w:ascii="Poppins" w:hAnsi="Poppins" w:cs="Poppins"/>
          <w:sz w:val="20"/>
          <w:szCs w:val="20"/>
        </w:rPr>
        <w:t>relevant and impactful to stakeholders.</w:t>
      </w:r>
    </w:p>
    <w:p w14:paraId="5BB38308" w14:textId="77777777" w:rsidR="001133C6" w:rsidRPr="001133C6" w:rsidRDefault="001133C6" w:rsidP="001133C6">
      <w:pPr>
        <w:numPr>
          <w:ilvl w:val="0"/>
          <w:numId w:val="21"/>
        </w:numPr>
        <w:spacing w:after="0" w:line="240" w:lineRule="auto"/>
        <w:rPr>
          <w:rFonts w:ascii="Poppins" w:hAnsi="Poppins" w:cs="Poppins"/>
          <w:sz w:val="20"/>
          <w:szCs w:val="20"/>
        </w:rPr>
      </w:pPr>
      <w:r w:rsidRPr="001133C6">
        <w:rPr>
          <w:rFonts w:ascii="Poppins" w:hAnsi="Poppins" w:cs="Poppins"/>
          <w:sz w:val="20"/>
          <w:szCs w:val="20"/>
        </w:rPr>
        <w:t>Advise on emerging societal, industrial, and policy needs that the Centre’s research could address.</w:t>
      </w:r>
    </w:p>
    <w:p w14:paraId="10B6AF70" w14:textId="41E7959C" w:rsidR="001133C6" w:rsidRPr="001133C6" w:rsidRDefault="001133C6" w:rsidP="001133C6">
      <w:pPr>
        <w:numPr>
          <w:ilvl w:val="0"/>
          <w:numId w:val="21"/>
        </w:numPr>
        <w:spacing w:after="0" w:line="240" w:lineRule="auto"/>
        <w:rPr>
          <w:rFonts w:ascii="Poppins" w:hAnsi="Poppins" w:cs="Poppins"/>
          <w:sz w:val="20"/>
          <w:szCs w:val="20"/>
        </w:rPr>
      </w:pPr>
      <w:r w:rsidRPr="001133C6">
        <w:rPr>
          <w:rFonts w:ascii="Poppins" w:hAnsi="Poppins" w:cs="Poppins"/>
          <w:sz w:val="20"/>
          <w:szCs w:val="20"/>
        </w:rPr>
        <w:t>Offer feedback on the Centre’s research priorities, outputs, and pathways to impact, ensuring alignment with national</w:t>
      </w:r>
      <w:r>
        <w:rPr>
          <w:rFonts w:ascii="Poppins" w:hAnsi="Poppins" w:cs="Poppins"/>
          <w:sz w:val="20"/>
          <w:szCs w:val="20"/>
        </w:rPr>
        <w:t xml:space="preserve"> and international</w:t>
      </w:r>
      <w:r w:rsidRPr="001133C6">
        <w:rPr>
          <w:rFonts w:ascii="Poppins" w:hAnsi="Poppins" w:cs="Poppins"/>
          <w:sz w:val="20"/>
          <w:szCs w:val="20"/>
        </w:rPr>
        <w:t xml:space="preserve"> priorities.</w:t>
      </w:r>
    </w:p>
    <w:p w14:paraId="5491289F" w14:textId="77777777" w:rsidR="001133C6" w:rsidRDefault="001133C6" w:rsidP="001133C6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4B7513E2" w14:textId="488294BE" w:rsidR="001133C6" w:rsidRPr="001133C6" w:rsidRDefault="001133C6" w:rsidP="001133C6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1133C6">
        <w:rPr>
          <w:rFonts w:ascii="Poppins" w:hAnsi="Poppins" w:cs="Poppins"/>
          <w:sz w:val="20"/>
          <w:szCs w:val="20"/>
        </w:rPr>
        <w:t>Engagement and Impact</w:t>
      </w:r>
    </w:p>
    <w:p w14:paraId="6588A7C8" w14:textId="77777777" w:rsidR="001133C6" w:rsidRPr="001133C6" w:rsidRDefault="001133C6" w:rsidP="001133C6">
      <w:pPr>
        <w:numPr>
          <w:ilvl w:val="0"/>
          <w:numId w:val="22"/>
        </w:numPr>
        <w:spacing w:after="0" w:line="240" w:lineRule="auto"/>
        <w:rPr>
          <w:rFonts w:ascii="Poppins" w:hAnsi="Poppins" w:cs="Poppins"/>
          <w:sz w:val="20"/>
          <w:szCs w:val="20"/>
        </w:rPr>
      </w:pPr>
      <w:r w:rsidRPr="001133C6">
        <w:rPr>
          <w:rFonts w:ascii="Poppins" w:hAnsi="Poppins" w:cs="Poppins"/>
          <w:sz w:val="20"/>
          <w:szCs w:val="20"/>
        </w:rPr>
        <w:t>Act as a conduit between the Centre and national stakeholders, fostering stronger relationships with industry, policymakers, practitioners, and the wider public.</w:t>
      </w:r>
    </w:p>
    <w:p w14:paraId="469985F6" w14:textId="77777777" w:rsidR="001133C6" w:rsidRPr="001133C6" w:rsidRDefault="001133C6" w:rsidP="001133C6">
      <w:pPr>
        <w:numPr>
          <w:ilvl w:val="0"/>
          <w:numId w:val="22"/>
        </w:numPr>
        <w:spacing w:after="0" w:line="240" w:lineRule="auto"/>
        <w:rPr>
          <w:rFonts w:ascii="Poppins" w:hAnsi="Poppins" w:cs="Poppins"/>
          <w:sz w:val="20"/>
          <w:szCs w:val="20"/>
        </w:rPr>
      </w:pPr>
      <w:r w:rsidRPr="001133C6">
        <w:rPr>
          <w:rFonts w:ascii="Poppins" w:hAnsi="Poppins" w:cs="Poppins"/>
          <w:sz w:val="20"/>
          <w:szCs w:val="20"/>
        </w:rPr>
        <w:t>Support the dissemination and translation of research findings to maximise societal and economic impact.</w:t>
      </w:r>
    </w:p>
    <w:p w14:paraId="0AB51433" w14:textId="77777777" w:rsidR="001133C6" w:rsidRPr="001133C6" w:rsidRDefault="001133C6" w:rsidP="001133C6">
      <w:pPr>
        <w:numPr>
          <w:ilvl w:val="0"/>
          <w:numId w:val="22"/>
        </w:numPr>
        <w:spacing w:after="0" w:line="240" w:lineRule="auto"/>
        <w:rPr>
          <w:rFonts w:ascii="Poppins" w:hAnsi="Poppins" w:cs="Poppins"/>
          <w:sz w:val="20"/>
          <w:szCs w:val="20"/>
        </w:rPr>
      </w:pPr>
      <w:r w:rsidRPr="001133C6">
        <w:rPr>
          <w:rFonts w:ascii="Poppins" w:hAnsi="Poppins" w:cs="Poppins"/>
          <w:sz w:val="20"/>
          <w:szCs w:val="20"/>
        </w:rPr>
        <w:t>Identify opportunities for collaboration, co-development of projects, and leveraging of funding from external sources.</w:t>
      </w:r>
    </w:p>
    <w:p w14:paraId="625A5C6D" w14:textId="77777777" w:rsidR="001133C6" w:rsidRDefault="001133C6" w:rsidP="001133C6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5FD4963B" w14:textId="30024694" w:rsidR="001133C6" w:rsidRPr="001133C6" w:rsidRDefault="001133C6" w:rsidP="001133C6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1133C6">
        <w:rPr>
          <w:rFonts w:ascii="Poppins" w:hAnsi="Poppins" w:cs="Poppins"/>
          <w:sz w:val="20"/>
          <w:szCs w:val="20"/>
        </w:rPr>
        <w:t>Horizon Scanning</w:t>
      </w:r>
    </w:p>
    <w:p w14:paraId="79944DFD" w14:textId="77777777" w:rsidR="001133C6" w:rsidRPr="001133C6" w:rsidRDefault="001133C6" w:rsidP="001133C6">
      <w:pPr>
        <w:numPr>
          <w:ilvl w:val="0"/>
          <w:numId w:val="23"/>
        </w:numPr>
        <w:spacing w:after="0" w:line="240" w:lineRule="auto"/>
        <w:rPr>
          <w:rFonts w:ascii="Poppins" w:hAnsi="Poppins" w:cs="Poppins"/>
          <w:sz w:val="20"/>
          <w:szCs w:val="20"/>
        </w:rPr>
      </w:pPr>
      <w:r w:rsidRPr="001133C6">
        <w:rPr>
          <w:rFonts w:ascii="Poppins" w:hAnsi="Poppins" w:cs="Poppins"/>
          <w:sz w:val="20"/>
          <w:szCs w:val="20"/>
        </w:rPr>
        <w:t>Advise on emerging challenges, opportunities, and funding landscapes relevant to the Centre’s thematic areas.</w:t>
      </w:r>
    </w:p>
    <w:p w14:paraId="4980ED14" w14:textId="6A1CEA70" w:rsidR="001133C6" w:rsidRPr="001133C6" w:rsidRDefault="001133C6" w:rsidP="001133C6">
      <w:pPr>
        <w:numPr>
          <w:ilvl w:val="0"/>
          <w:numId w:val="23"/>
        </w:numPr>
        <w:spacing w:after="0" w:line="240" w:lineRule="auto"/>
        <w:rPr>
          <w:rFonts w:ascii="Poppins" w:hAnsi="Poppins" w:cs="Poppins"/>
          <w:sz w:val="20"/>
          <w:szCs w:val="20"/>
        </w:rPr>
      </w:pPr>
      <w:r w:rsidRPr="001133C6">
        <w:rPr>
          <w:rFonts w:ascii="Poppins" w:hAnsi="Poppins" w:cs="Poppins"/>
          <w:sz w:val="20"/>
          <w:szCs w:val="20"/>
        </w:rPr>
        <w:t>Highlight trends and developments in policy, industry, technology</w:t>
      </w:r>
      <w:r>
        <w:rPr>
          <w:rFonts w:ascii="Poppins" w:hAnsi="Poppins" w:cs="Poppins"/>
          <w:sz w:val="20"/>
          <w:szCs w:val="20"/>
        </w:rPr>
        <w:t xml:space="preserve"> or patient needs</w:t>
      </w:r>
      <w:r w:rsidRPr="001133C6">
        <w:rPr>
          <w:rFonts w:ascii="Poppins" w:hAnsi="Poppins" w:cs="Poppins"/>
          <w:sz w:val="20"/>
          <w:szCs w:val="20"/>
        </w:rPr>
        <w:t xml:space="preserve"> that the Centre should consider.</w:t>
      </w:r>
    </w:p>
    <w:p w14:paraId="1D9AD8F0" w14:textId="77777777" w:rsidR="001133C6" w:rsidRDefault="001133C6" w:rsidP="001133C6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7213F001" w14:textId="27450343" w:rsidR="001133C6" w:rsidRPr="001133C6" w:rsidRDefault="001133C6" w:rsidP="001133C6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1133C6">
        <w:rPr>
          <w:rFonts w:ascii="Poppins" w:hAnsi="Poppins" w:cs="Poppins"/>
          <w:sz w:val="20"/>
          <w:szCs w:val="20"/>
        </w:rPr>
        <w:lastRenderedPageBreak/>
        <w:t>Advocacy and Support</w:t>
      </w:r>
    </w:p>
    <w:p w14:paraId="01EB4B1B" w14:textId="77777777" w:rsidR="001133C6" w:rsidRPr="001133C6" w:rsidRDefault="001133C6" w:rsidP="001133C6">
      <w:pPr>
        <w:numPr>
          <w:ilvl w:val="0"/>
          <w:numId w:val="24"/>
        </w:numPr>
        <w:spacing w:after="0" w:line="240" w:lineRule="auto"/>
        <w:rPr>
          <w:rFonts w:ascii="Poppins" w:hAnsi="Poppins" w:cs="Poppins"/>
          <w:sz w:val="20"/>
          <w:szCs w:val="20"/>
        </w:rPr>
      </w:pPr>
      <w:r w:rsidRPr="001133C6">
        <w:rPr>
          <w:rFonts w:ascii="Poppins" w:hAnsi="Poppins" w:cs="Poppins"/>
          <w:sz w:val="20"/>
          <w:szCs w:val="20"/>
        </w:rPr>
        <w:t>Champion the work of the Centre nationally and internationally.</w:t>
      </w:r>
    </w:p>
    <w:p w14:paraId="3AACFE49" w14:textId="77777777" w:rsidR="001133C6" w:rsidRPr="001133C6" w:rsidRDefault="001133C6" w:rsidP="001133C6">
      <w:pPr>
        <w:numPr>
          <w:ilvl w:val="0"/>
          <w:numId w:val="24"/>
        </w:numPr>
        <w:spacing w:after="0" w:line="240" w:lineRule="auto"/>
        <w:rPr>
          <w:rFonts w:ascii="Poppins" w:hAnsi="Poppins" w:cs="Poppins"/>
          <w:sz w:val="20"/>
          <w:szCs w:val="20"/>
        </w:rPr>
      </w:pPr>
      <w:r w:rsidRPr="001133C6">
        <w:rPr>
          <w:rFonts w:ascii="Poppins" w:hAnsi="Poppins" w:cs="Poppins"/>
          <w:sz w:val="20"/>
          <w:szCs w:val="20"/>
        </w:rPr>
        <w:t>Help promote the Centre’s reputation, activities, and outputs within their sectors and networks.</w:t>
      </w:r>
    </w:p>
    <w:p w14:paraId="280CCD01" w14:textId="77777777" w:rsidR="0098312F" w:rsidRDefault="0098312F" w:rsidP="00D4365C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3B30F000" w14:textId="5501259D" w:rsidR="00511627" w:rsidRPr="00107FF8" w:rsidRDefault="00511627" w:rsidP="00D4365C">
      <w:pPr>
        <w:spacing w:after="0" w:line="240" w:lineRule="auto"/>
        <w:rPr>
          <w:rFonts w:ascii="Poppins" w:hAnsi="Poppins" w:cs="Poppins"/>
          <w:b/>
          <w:bCs/>
          <w:sz w:val="20"/>
          <w:szCs w:val="20"/>
        </w:rPr>
      </w:pPr>
      <w:r w:rsidRPr="00107FF8">
        <w:rPr>
          <w:rFonts w:ascii="Poppins" w:hAnsi="Poppins" w:cs="Poppins"/>
          <w:b/>
          <w:bCs/>
          <w:sz w:val="20"/>
          <w:szCs w:val="20"/>
        </w:rPr>
        <w:t>Meeting frequency</w:t>
      </w:r>
    </w:p>
    <w:p w14:paraId="5F73FA7A" w14:textId="3DDAEB1A" w:rsidR="00511627" w:rsidRPr="00107FF8" w:rsidRDefault="005A3CD9" w:rsidP="00D4365C">
      <w:pPr>
        <w:spacing w:after="0"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Biannually</w:t>
      </w:r>
      <w:r w:rsidR="00511627" w:rsidRPr="00107FF8">
        <w:rPr>
          <w:rFonts w:ascii="Poppins" w:hAnsi="Poppins" w:cs="Poppins"/>
          <w:sz w:val="20"/>
          <w:szCs w:val="20"/>
        </w:rPr>
        <w:t xml:space="preserve"> </w:t>
      </w:r>
      <w:r w:rsidR="006C2E21">
        <w:rPr>
          <w:rFonts w:ascii="Poppins" w:hAnsi="Poppins" w:cs="Poppins"/>
          <w:sz w:val="20"/>
          <w:szCs w:val="20"/>
        </w:rPr>
        <w:t xml:space="preserve">with additional meetings convened as necessary </w:t>
      </w:r>
      <w:r w:rsidR="00511627" w:rsidRPr="00107FF8">
        <w:rPr>
          <w:rFonts w:ascii="Poppins" w:hAnsi="Poppins" w:cs="Poppins"/>
          <w:sz w:val="20"/>
          <w:szCs w:val="20"/>
        </w:rPr>
        <w:t>(</w:t>
      </w:r>
      <w:r w:rsidR="006C2E21">
        <w:rPr>
          <w:rFonts w:ascii="Poppins" w:hAnsi="Poppins" w:cs="Poppins"/>
          <w:sz w:val="20"/>
          <w:szCs w:val="20"/>
        </w:rPr>
        <w:t>there may</w:t>
      </w:r>
      <w:r w:rsidR="00511627" w:rsidRPr="00107FF8">
        <w:rPr>
          <w:rFonts w:ascii="Poppins" w:hAnsi="Poppins" w:cs="Poppins"/>
          <w:sz w:val="20"/>
          <w:szCs w:val="20"/>
        </w:rPr>
        <w:t xml:space="preserve"> be more frequent in the first </w:t>
      </w:r>
      <w:r w:rsidR="006C2E21">
        <w:rPr>
          <w:rFonts w:ascii="Poppins" w:hAnsi="Poppins" w:cs="Poppins"/>
          <w:sz w:val="20"/>
          <w:szCs w:val="20"/>
        </w:rPr>
        <w:t>twelve</w:t>
      </w:r>
      <w:r w:rsidR="00511627" w:rsidRPr="00107FF8">
        <w:rPr>
          <w:rFonts w:ascii="Poppins" w:hAnsi="Poppins" w:cs="Poppins"/>
          <w:sz w:val="20"/>
          <w:szCs w:val="20"/>
        </w:rPr>
        <w:t xml:space="preserve"> months whilst the </w:t>
      </w:r>
      <w:r w:rsidR="006C2E21">
        <w:rPr>
          <w:rFonts w:ascii="Poppins" w:hAnsi="Poppins" w:cs="Poppins"/>
          <w:sz w:val="20"/>
          <w:szCs w:val="20"/>
        </w:rPr>
        <w:t>Centre is established</w:t>
      </w:r>
      <w:r w:rsidR="00511627" w:rsidRPr="00107FF8">
        <w:rPr>
          <w:rFonts w:ascii="Poppins" w:hAnsi="Poppins" w:cs="Poppins"/>
          <w:sz w:val="20"/>
          <w:szCs w:val="20"/>
        </w:rPr>
        <w:t>).</w:t>
      </w:r>
    </w:p>
    <w:p w14:paraId="53A17769" w14:textId="77777777" w:rsidR="00D4365C" w:rsidRPr="00107FF8" w:rsidRDefault="00D4365C" w:rsidP="00D4365C">
      <w:pPr>
        <w:spacing w:after="0" w:line="240" w:lineRule="auto"/>
        <w:rPr>
          <w:rFonts w:ascii="Poppins" w:hAnsi="Poppins" w:cs="Poppins"/>
          <w:b/>
          <w:bCs/>
          <w:sz w:val="20"/>
          <w:szCs w:val="20"/>
        </w:rPr>
      </w:pPr>
    </w:p>
    <w:p w14:paraId="2F3A3619" w14:textId="5EE35E31" w:rsidR="00511627" w:rsidRPr="00107FF8" w:rsidRDefault="00511627" w:rsidP="00D4365C">
      <w:pPr>
        <w:spacing w:after="0" w:line="240" w:lineRule="auto"/>
        <w:rPr>
          <w:rFonts w:ascii="Poppins" w:hAnsi="Poppins" w:cs="Poppins"/>
          <w:b/>
          <w:bCs/>
          <w:sz w:val="20"/>
          <w:szCs w:val="20"/>
        </w:rPr>
      </w:pPr>
      <w:r w:rsidRPr="00107FF8">
        <w:rPr>
          <w:rFonts w:ascii="Poppins" w:hAnsi="Poppins" w:cs="Poppins"/>
          <w:b/>
          <w:bCs/>
          <w:sz w:val="20"/>
          <w:szCs w:val="20"/>
        </w:rPr>
        <w:t>Quorum</w:t>
      </w:r>
    </w:p>
    <w:p w14:paraId="673A2B3B" w14:textId="0E77432E" w:rsidR="00511627" w:rsidRPr="00107FF8" w:rsidRDefault="00511627" w:rsidP="00D4365C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107FF8">
        <w:rPr>
          <w:rFonts w:ascii="Poppins" w:hAnsi="Poppins" w:cs="Poppins"/>
          <w:sz w:val="20"/>
          <w:szCs w:val="20"/>
        </w:rPr>
        <w:t>50% plus one</w:t>
      </w:r>
      <w:r w:rsidR="006C2E21">
        <w:rPr>
          <w:rFonts w:ascii="Poppins" w:hAnsi="Poppins" w:cs="Poppins"/>
          <w:sz w:val="20"/>
          <w:szCs w:val="20"/>
        </w:rPr>
        <w:t xml:space="preserve"> and </w:t>
      </w:r>
      <w:r w:rsidR="005A3CD9">
        <w:rPr>
          <w:rFonts w:ascii="Poppins" w:hAnsi="Poppins" w:cs="Poppins"/>
          <w:sz w:val="20"/>
          <w:szCs w:val="20"/>
        </w:rPr>
        <w:t>either the</w:t>
      </w:r>
      <w:r w:rsidR="006C2E21">
        <w:rPr>
          <w:rFonts w:ascii="Poppins" w:hAnsi="Poppins" w:cs="Poppins"/>
          <w:sz w:val="20"/>
          <w:szCs w:val="20"/>
        </w:rPr>
        <w:t xml:space="preserve"> Chair </w:t>
      </w:r>
      <w:r w:rsidR="006C2E21" w:rsidRPr="00B15A08">
        <w:rPr>
          <w:rFonts w:ascii="Poppins" w:hAnsi="Poppins" w:cs="Poppins"/>
          <w:sz w:val="20"/>
          <w:szCs w:val="20"/>
        </w:rPr>
        <w:t>or Deputy Chair mu</w:t>
      </w:r>
      <w:r w:rsidR="006C2E21">
        <w:rPr>
          <w:rFonts w:ascii="Poppins" w:hAnsi="Poppins" w:cs="Poppins"/>
          <w:sz w:val="20"/>
          <w:szCs w:val="20"/>
        </w:rPr>
        <w:t>st be present.</w:t>
      </w:r>
    </w:p>
    <w:p w14:paraId="53FAFDB1" w14:textId="77777777" w:rsidR="00D4365C" w:rsidRPr="00107FF8" w:rsidRDefault="00D4365C" w:rsidP="00D4365C">
      <w:pPr>
        <w:spacing w:after="0" w:line="240" w:lineRule="auto"/>
        <w:rPr>
          <w:rFonts w:ascii="Poppins" w:hAnsi="Poppins" w:cs="Poppins"/>
          <w:b/>
          <w:bCs/>
          <w:sz w:val="20"/>
          <w:szCs w:val="20"/>
        </w:rPr>
      </w:pPr>
    </w:p>
    <w:p w14:paraId="685A97A2" w14:textId="77777777" w:rsidR="005A3CD9" w:rsidRDefault="005A3CD9" w:rsidP="00D4365C">
      <w:pPr>
        <w:spacing w:after="0" w:line="240" w:lineRule="auto"/>
        <w:rPr>
          <w:rFonts w:ascii="Poppins" w:hAnsi="Poppins" w:cs="Poppins"/>
          <w:b/>
          <w:bCs/>
          <w:sz w:val="20"/>
          <w:szCs w:val="20"/>
        </w:rPr>
      </w:pPr>
      <w:bookmarkStart w:id="1" w:name="_Hlk185344297"/>
      <w:r>
        <w:rPr>
          <w:rFonts w:ascii="Poppins" w:hAnsi="Poppins" w:cs="Poppins"/>
          <w:b/>
          <w:bCs/>
          <w:sz w:val="20"/>
          <w:szCs w:val="20"/>
        </w:rPr>
        <w:t>Conflicts of interest</w:t>
      </w:r>
    </w:p>
    <w:p w14:paraId="0E4399D1" w14:textId="4E759FA9" w:rsidR="005A3CD9" w:rsidRPr="005A3CD9" w:rsidRDefault="005A3CD9" w:rsidP="00D4365C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5A3CD9">
        <w:rPr>
          <w:rFonts w:ascii="Poppins" w:hAnsi="Poppins" w:cs="Poppins"/>
          <w:sz w:val="20"/>
          <w:szCs w:val="20"/>
        </w:rPr>
        <w:t>Members must declare any conflicts of interest at the start of each meeting and refrain from participating in discussions</w:t>
      </w:r>
      <w:r>
        <w:rPr>
          <w:rFonts w:ascii="Poppins" w:hAnsi="Poppins" w:cs="Poppins"/>
          <w:sz w:val="20"/>
          <w:szCs w:val="20"/>
        </w:rPr>
        <w:t>,</w:t>
      </w:r>
      <w:r w:rsidRPr="005A3CD9">
        <w:rPr>
          <w:rFonts w:ascii="Poppins" w:hAnsi="Poppins" w:cs="Poppins"/>
          <w:sz w:val="20"/>
          <w:szCs w:val="20"/>
        </w:rPr>
        <w:t xml:space="preserve"> recommendations</w:t>
      </w:r>
      <w:r>
        <w:rPr>
          <w:rFonts w:ascii="Poppins" w:hAnsi="Poppins" w:cs="Poppins"/>
          <w:sz w:val="20"/>
          <w:szCs w:val="20"/>
        </w:rPr>
        <w:t xml:space="preserve"> or activities</w:t>
      </w:r>
      <w:r w:rsidRPr="005A3CD9">
        <w:rPr>
          <w:rFonts w:ascii="Poppins" w:hAnsi="Poppins" w:cs="Poppins"/>
          <w:sz w:val="20"/>
          <w:szCs w:val="20"/>
        </w:rPr>
        <w:t xml:space="preserve"> where a conflict arises.</w:t>
      </w:r>
    </w:p>
    <w:bookmarkEnd w:id="1"/>
    <w:p w14:paraId="44DD5338" w14:textId="77777777" w:rsidR="005A3CD9" w:rsidRDefault="005A3CD9" w:rsidP="00D4365C">
      <w:pPr>
        <w:spacing w:after="0" w:line="240" w:lineRule="auto"/>
        <w:rPr>
          <w:rFonts w:ascii="Poppins" w:hAnsi="Poppins" w:cs="Poppins"/>
          <w:b/>
          <w:bCs/>
          <w:sz w:val="20"/>
          <w:szCs w:val="20"/>
        </w:rPr>
      </w:pPr>
    </w:p>
    <w:p w14:paraId="4041613A" w14:textId="52709A53" w:rsidR="00511627" w:rsidRPr="00107FF8" w:rsidRDefault="00511627" w:rsidP="00D4365C">
      <w:pPr>
        <w:spacing w:after="0" w:line="240" w:lineRule="auto"/>
        <w:rPr>
          <w:rFonts w:ascii="Poppins" w:hAnsi="Poppins" w:cs="Poppins"/>
          <w:b/>
          <w:bCs/>
          <w:sz w:val="20"/>
          <w:szCs w:val="20"/>
        </w:rPr>
      </w:pPr>
      <w:r w:rsidRPr="00107FF8">
        <w:rPr>
          <w:rFonts w:ascii="Poppins" w:hAnsi="Poppins" w:cs="Poppins"/>
          <w:b/>
          <w:bCs/>
          <w:sz w:val="20"/>
          <w:szCs w:val="20"/>
        </w:rPr>
        <w:t>Accountable to</w:t>
      </w:r>
    </w:p>
    <w:p w14:paraId="53AD5208" w14:textId="7E041475" w:rsidR="00511627" w:rsidRDefault="00E5032B" w:rsidP="00D4365C">
      <w:pPr>
        <w:spacing w:after="0"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NCCR Steering Group</w:t>
      </w:r>
    </w:p>
    <w:p w14:paraId="18E58759" w14:textId="77777777" w:rsidR="006C2E21" w:rsidRDefault="006C2E21" w:rsidP="00D4365C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0F374891" w14:textId="6638371C" w:rsidR="006C2E21" w:rsidRDefault="006C2E21" w:rsidP="00D4365C">
      <w:pPr>
        <w:spacing w:after="0" w:line="240" w:lineRule="auto"/>
        <w:rPr>
          <w:rFonts w:ascii="Poppins" w:hAnsi="Poppins" w:cs="Poppins"/>
          <w:b/>
          <w:bCs/>
          <w:sz w:val="20"/>
          <w:szCs w:val="20"/>
        </w:rPr>
      </w:pPr>
      <w:r w:rsidRPr="006C2E21">
        <w:rPr>
          <w:rFonts w:ascii="Poppins" w:hAnsi="Poppins" w:cs="Poppins"/>
          <w:b/>
          <w:bCs/>
          <w:sz w:val="20"/>
          <w:szCs w:val="20"/>
        </w:rPr>
        <w:t>Sub-committees</w:t>
      </w:r>
    </w:p>
    <w:p w14:paraId="38CF78BA" w14:textId="49F1AD5B" w:rsidR="006C2E21" w:rsidRPr="006C2E21" w:rsidRDefault="005A3CD9" w:rsidP="005A3CD9">
      <w:pPr>
        <w:spacing w:after="0"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None.</w:t>
      </w:r>
    </w:p>
    <w:p w14:paraId="46D58C75" w14:textId="77777777" w:rsidR="006C2E21" w:rsidRDefault="006C2E21" w:rsidP="00D4365C">
      <w:pPr>
        <w:spacing w:after="0" w:line="240" w:lineRule="auto"/>
        <w:rPr>
          <w:rFonts w:ascii="Poppins" w:hAnsi="Poppins" w:cs="Poppins"/>
          <w:b/>
          <w:bCs/>
          <w:sz w:val="20"/>
          <w:szCs w:val="20"/>
        </w:rPr>
      </w:pPr>
    </w:p>
    <w:p w14:paraId="6722E157" w14:textId="3195B81C" w:rsidR="00120A69" w:rsidRDefault="00120A69" w:rsidP="00D4365C">
      <w:pPr>
        <w:spacing w:after="0" w:line="240" w:lineRule="auto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>Review</w:t>
      </w:r>
    </w:p>
    <w:p w14:paraId="3712FCC6" w14:textId="130FB646" w:rsidR="00120A69" w:rsidRDefault="00120A69" w:rsidP="00D4365C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120A69">
        <w:rPr>
          <w:rFonts w:ascii="Poppins" w:hAnsi="Poppins" w:cs="Poppins"/>
          <w:sz w:val="20"/>
          <w:szCs w:val="20"/>
        </w:rPr>
        <w:t>The Terms of Reference will be reviewed annually to ensure their relevance and effectiveness.</w:t>
      </w:r>
    </w:p>
    <w:p w14:paraId="3CCF1BD2" w14:textId="77777777" w:rsidR="00FD7181" w:rsidRDefault="00FD7181" w:rsidP="00D4365C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5A3031A8" w14:textId="21FC1AC9" w:rsidR="00FD7181" w:rsidRDefault="00FD7181" w:rsidP="00D4365C">
      <w:pPr>
        <w:spacing w:after="0" w:line="240" w:lineRule="auto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>Approval</w:t>
      </w:r>
    </w:p>
    <w:p w14:paraId="0B6971E1" w14:textId="47868907" w:rsidR="00FD7181" w:rsidRPr="00FD7181" w:rsidRDefault="00FD7181" w:rsidP="00D4365C">
      <w:pPr>
        <w:spacing w:after="0"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This version of the terms of reference was approved by the NCCR Steering Group on 9 October 2025.</w:t>
      </w:r>
    </w:p>
    <w:sectPr w:rsidR="00FD7181" w:rsidRPr="00FD7181" w:rsidSect="00931A3F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CB14A" w14:textId="77777777" w:rsidR="007A604D" w:rsidRDefault="007A604D" w:rsidP="007A604D">
      <w:pPr>
        <w:spacing w:after="0" w:line="240" w:lineRule="auto"/>
      </w:pPr>
      <w:r>
        <w:separator/>
      </w:r>
    </w:p>
  </w:endnote>
  <w:endnote w:type="continuationSeparator" w:id="0">
    <w:p w14:paraId="02BAD55C" w14:textId="77777777" w:rsidR="007A604D" w:rsidRDefault="007A604D" w:rsidP="007A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B95A2" w14:textId="77777777" w:rsidR="007A604D" w:rsidRDefault="007A604D" w:rsidP="007A604D">
      <w:pPr>
        <w:spacing w:after="0" w:line="240" w:lineRule="auto"/>
      </w:pPr>
      <w:r>
        <w:separator/>
      </w:r>
    </w:p>
  </w:footnote>
  <w:footnote w:type="continuationSeparator" w:id="0">
    <w:p w14:paraId="6643FCB8" w14:textId="77777777" w:rsidR="007A604D" w:rsidRDefault="007A604D" w:rsidP="007A6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D585" w14:textId="4F5C35C7" w:rsidR="007A604D" w:rsidRDefault="007A604D">
    <w:pPr>
      <w:pStyle w:val="Header"/>
    </w:pPr>
    <w:r>
      <w:rPr>
        <w:noProof/>
      </w:rPr>
      <w:drawing>
        <wp:inline distT="0" distB="0" distL="0" distR="0" wp14:anchorId="1F87E8B7" wp14:editId="1DA68788">
          <wp:extent cx="2813994" cy="719086"/>
          <wp:effectExtent l="0" t="0" r="0" b="5080"/>
          <wp:docPr id="88101401" name="Picture 1" descr="A purple letter u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01401" name="Picture 1" descr="A purple letter u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3994" cy="719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4DEA7F" w14:textId="77777777" w:rsidR="007A604D" w:rsidRDefault="007A6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C1F"/>
    <w:multiLevelType w:val="multilevel"/>
    <w:tmpl w:val="18A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64631"/>
    <w:multiLevelType w:val="hybridMultilevel"/>
    <w:tmpl w:val="DA3A8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76D8E"/>
    <w:multiLevelType w:val="hybridMultilevel"/>
    <w:tmpl w:val="DA3A8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D50C2"/>
    <w:multiLevelType w:val="multilevel"/>
    <w:tmpl w:val="EA3E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06303"/>
    <w:multiLevelType w:val="multilevel"/>
    <w:tmpl w:val="5098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57E4B"/>
    <w:multiLevelType w:val="multilevel"/>
    <w:tmpl w:val="91CA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33BF0"/>
    <w:multiLevelType w:val="hybridMultilevel"/>
    <w:tmpl w:val="DA3A8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E49EF"/>
    <w:multiLevelType w:val="multilevel"/>
    <w:tmpl w:val="14C2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212F5"/>
    <w:multiLevelType w:val="multilevel"/>
    <w:tmpl w:val="E028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556C6"/>
    <w:multiLevelType w:val="multilevel"/>
    <w:tmpl w:val="63FA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FF7F78"/>
    <w:multiLevelType w:val="multilevel"/>
    <w:tmpl w:val="D7FA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387677"/>
    <w:multiLevelType w:val="multilevel"/>
    <w:tmpl w:val="FEBE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A7AAA"/>
    <w:multiLevelType w:val="multilevel"/>
    <w:tmpl w:val="482E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A44439"/>
    <w:multiLevelType w:val="multilevel"/>
    <w:tmpl w:val="022E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DD6BB2"/>
    <w:multiLevelType w:val="multilevel"/>
    <w:tmpl w:val="C674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CF2447"/>
    <w:multiLevelType w:val="multilevel"/>
    <w:tmpl w:val="E722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D05B2B"/>
    <w:multiLevelType w:val="multilevel"/>
    <w:tmpl w:val="84FC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BD4C63"/>
    <w:multiLevelType w:val="multilevel"/>
    <w:tmpl w:val="9248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F50973"/>
    <w:multiLevelType w:val="multilevel"/>
    <w:tmpl w:val="5816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987AF9"/>
    <w:multiLevelType w:val="hybridMultilevel"/>
    <w:tmpl w:val="DA3A8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57736"/>
    <w:multiLevelType w:val="hybridMultilevel"/>
    <w:tmpl w:val="DA3A8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21A14"/>
    <w:multiLevelType w:val="multilevel"/>
    <w:tmpl w:val="32B6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487BFF"/>
    <w:multiLevelType w:val="multilevel"/>
    <w:tmpl w:val="8C36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4B4491"/>
    <w:multiLevelType w:val="hybridMultilevel"/>
    <w:tmpl w:val="DA3A8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285798">
    <w:abstractNumId w:val="6"/>
  </w:num>
  <w:num w:numId="2" w16cid:durableId="682585909">
    <w:abstractNumId w:val="2"/>
  </w:num>
  <w:num w:numId="3" w16cid:durableId="887574831">
    <w:abstractNumId w:val="20"/>
  </w:num>
  <w:num w:numId="4" w16cid:durableId="1047484097">
    <w:abstractNumId w:val="23"/>
  </w:num>
  <w:num w:numId="5" w16cid:durableId="305086509">
    <w:abstractNumId w:val="1"/>
  </w:num>
  <w:num w:numId="6" w16cid:durableId="1705205074">
    <w:abstractNumId w:val="19"/>
  </w:num>
  <w:num w:numId="7" w16cid:durableId="288897584">
    <w:abstractNumId w:val="12"/>
  </w:num>
  <w:num w:numId="8" w16cid:durableId="1201628961">
    <w:abstractNumId w:val="0"/>
  </w:num>
  <w:num w:numId="9" w16cid:durableId="1019508112">
    <w:abstractNumId w:val="17"/>
  </w:num>
  <w:num w:numId="10" w16cid:durableId="2048985883">
    <w:abstractNumId w:val="15"/>
  </w:num>
  <w:num w:numId="11" w16cid:durableId="1113331402">
    <w:abstractNumId w:val="9"/>
  </w:num>
  <w:num w:numId="12" w16cid:durableId="2023508738">
    <w:abstractNumId w:val="21"/>
  </w:num>
  <w:num w:numId="13" w16cid:durableId="647631553">
    <w:abstractNumId w:val="11"/>
  </w:num>
  <w:num w:numId="14" w16cid:durableId="596981339">
    <w:abstractNumId w:val="7"/>
  </w:num>
  <w:num w:numId="15" w16cid:durableId="570774079">
    <w:abstractNumId w:val="13"/>
  </w:num>
  <w:num w:numId="16" w16cid:durableId="1502428454">
    <w:abstractNumId w:val="18"/>
  </w:num>
  <w:num w:numId="17" w16cid:durableId="645475109">
    <w:abstractNumId w:val="5"/>
  </w:num>
  <w:num w:numId="18" w16cid:durableId="369230521">
    <w:abstractNumId w:val="16"/>
  </w:num>
  <w:num w:numId="19" w16cid:durableId="865367053">
    <w:abstractNumId w:val="3"/>
  </w:num>
  <w:num w:numId="20" w16cid:durableId="393165126">
    <w:abstractNumId w:val="14"/>
  </w:num>
  <w:num w:numId="21" w16cid:durableId="890774321">
    <w:abstractNumId w:val="8"/>
  </w:num>
  <w:num w:numId="22" w16cid:durableId="591084214">
    <w:abstractNumId w:val="10"/>
  </w:num>
  <w:num w:numId="23" w16cid:durableId="1478720886">
    <w:abstractNumId w:val="4"/>
  </w:num>
  <w:num w:numId="24" w16cid:durableId="11569200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17"/>
    <w:rsid w:val="00014421"/>
    <w:rsid w:val="00035C56"/>
    <w:rsid w:val="00055E9E"/>
    <w:rsid w:val="00107FF8"/>
    <w:rsid w:val="001133C6"/>
    <w:rsid w:val="00113786"/>
    <w:rsid w:val="00120A69"/>
    <w:rsid w:val="00221278"/>
    <w:rsid w:val="00262850"/>
    <w:rsid w:val="00285D8E"/>
    <w:rsid w:val="002B5890"/>
    <w:rsid w:val="002D4917"/>
    <w:rsid w:val="0030078D"/>
    <w:rsid w:val="003B370E"/>
    <w:rsid w:val="00511627"/>
    <w:rsid w:val="00555C3F"/>
    <w:rsid w:val="0058173A"/>
    <w:rsid w:val="005A3CD9"/>
    <w:rsid w:val="006B4AE2"/>
    <w:rsid w:val="006C2E21"/>
    <w:rsid w:val="00783A02"/>
    <w:rsid w:val="007A604D"/>
    <w:rsid w:val="007E6D46"/>
    <w:rsid w:val="008853A5"/>
    <w:rsid w:val="008F3EAB"/>
    <w:rsid w:val="00904D10"/>
    <w:rsid w:val="00931A3F"/>
    <w:rsid w:val="0098312F"/>
    <w:rsid w:val="00A460D1"/>
    <w:rsid w:val="00A51BEA"/>
    <w:rsid w:val="00B15A08"/>
    <w:rsid w:val="00B727C0"/>
    <w:rsid w:val="00D4365C"/>
    <w:rsid w:val="00D955D8"/>
    <w:rsid w:val="00DB4AEF"/>
    <w:rsid w:val="00DC56D7"/>
    <w:rsid w:val="00DD6F50"/>
    <w:rsid w:val="00DD759A"/>
    <w:rsid w:val="00E42C57"/>
    <w:rsid w:val="00E42D25"/>
    <w:rsid w:val="00E5032B"/>
    <w:rsid w:val="00EE271C"/>
    <w:rsid w:val="00F17003"/>
    <w:rsid w:val="00F3224A"/>
    <w:rsid w:val="00FD7181"/>
    <w:rsid w:val="00FE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92D6"/>
  <w15:chartTrackingRefBased/>
  <w15:docId w15:val="{831B0506-3D4E-4A91-A87F-5B25A5C1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9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9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9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6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04D"/>
  </w:style>
  <w:style w:type="paragraph" w:styleId="Footer">
    <w:name w:val="footer"/>
    <w:basedOn w:val="Normal"/>
    <w:link w:val="FooterChar"/>
    <w:uiPriority w:val="99"/>
    <w:unhideWhenUsed/>
    <w:rsid w:val="007A6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4D"/>
  </w:style>
  <w:style w:type="paragraph" w:styleId="NormalWeb">
    <w:name w:val="Normal (Web)"/>
    <w:basedOn w:val="Normal"/>
    <w:uiPriority w:val="99"/>
    <w:semiHidden/>
    <w:unhideWhenUsed/>
    <w:rsid w:val="00D43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4365C"/>
    <w:rPr>
      <w:b/>
      <w:bCs/>
    </w:rPr>
  </w:style>
  <w:style w:type="character" w:styleId="Hyperlink">
    <w:name w:val="Hyperlink"/>
    <w:basedOn w:val="DefaultParagraphFont"/>
    <w:uiPriority w:val="99"/>
    <w:unhideWhenUsed/>
    <w:rsid w:val="00DB4A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AE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3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9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86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5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AECC UC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Northam</dc:creator>
  <cp:keywords/>
  <dc:description/>
  <cp:lastModifiedBy>Julie Northam</cp:lastModifiedBy>
  <cp:revision>4</cp:revision>
  <dcterms:created xsi:type="dcterms:W3CDTF">2024-12-17T15:53:00Z</dcterms:created>
  <dcterms:modified xsi:type="dcterms:W3CDTF">2025-10-10T15:01:00Z</dcterms:modified>
</cp:coreProperties>
</file>